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4D094" w14:textId="77777777" w:rsidR="003B1B55" w:rsidRPr="003B1B55" w:rsidRDefault="003B1B55" w:rsidP="003B1B55">
      <w:pPr>
        <w:rPr>
          <w:b/>
          <w:bCs/>
          <w:lang w:val="en-GB"/>
        </w:rPr>
      </w:pPr>
      <w:r w:rsidRPr="003B1B55">
        <w:rPr>
          <w:b/>
          <w:bCs/>
          <w:lang w:val="en-GB"/>
        </w:rPr>
        <w:t>Title</w:t>
      </w:r>
      <w:r w:rsidRPr="003B1B55">
        <w:rPr>
          <w:b/>
          <w:bCs/>
          <w:lang w:val="en-GB"/>
        </w:rPr>
        <w:br/>
        <w:t>Efficacy and Safety of Actinium-225-PSMA Targeted Alpha Therapy in Metastatic Castration-Resistant Prostate Cancer: A Systematic Review and Meta-Analysis</w:t>
      </w:r>
    </w:p>
    <w:p w14:paraId="7A02AC6E" w14:textId="77777777" w:rsidR="003B1B55" w:rsidRPr="003B1B55" w:rsidRDefault="00000000" w:rsidP="003B1B55">
      <w:pPr>
        <w:rPr>
          <w:b/>
          <w:bCs/>
        </w:rPr>
      </w:pPr>
      <w:r>
        <w:rPr>
          <w:b/>
          <w:bCs/>
        </w:rPr>
        <w:pict w14:anchorId="1807986A">
          <v:rect id="_x0000_i1025" style="width:0;height:1.5pt" o:hralign="center" o:hrstd="t" o:hr="t" fillcolor="#a0a0a0" stroked="f"/>
        </w:pict>
      </w:r>
    </w:p>
    <w:p w14:paraId="539E0307" w14:textId="77777777" w:rsidR="003B1B55" w:rsidRPr="003B1B55" w:rsidRDefault="003B1B55" w:rsidP="003B1B55">
      <w:pPr>
        <w:rPr>
          <w:b/>
          <w:bCs/>
          <w:lang w:val="en-GB"/>
        </w:rPr>
      </w:pPr>
      <w:r w:rsidRPr="003B1B55">
        <w:rPr>
          <w:b/>
          <w:bCs/>
          <w:lang w:val="en-GB"/>
        </w:rPr>
        <w:t>Abstract</w:t>
      </w:r>
      <w:r w:rsidRPr="003B1B55">
        <w:rPr>
          <w:b/>
          <w:bCs/>
          <w:lang w:val="en-GB"/>
        </w:rPr>
        <w:br/>
        <w:t xml:space="preserve">Background: </w:t>
      </w:r>
      <w:r w:rsidRPr="000D1920">
        <w:rPr>
          <w:lang w:val="en-GB"/>
        </w:rPr>
        <w:t xml:space="preserve">Targeted alpha therapy (TAT) with actinium-225 (Ac-225)-labeled prostate-specific membrane antigen (PSMA) ligands has emerged as a promising treatment for metastatic castration-resistant prostate cancer (mCRPC). This systematic review and meta-analysis </w:t>
      </w:r>
      <w:proofErr w:type="gramStart"/>
      <w:r w:rsidRPr="000D1920">
        <w:rPr>
          <w:lang w:val="en-GB"/>
        </w:rPr>
        <w:t>evaluates</w:t>
      </w:r>
      <w:proofErr w:type="gramEnd"/>
      <w:r w:rsidRPr="000D1920">
        <w:rPr>
          <w:lang w:val="en-GB"/>
        </w:rPr>
        <w:t xml:space="preserve"> the efficacy and safety of Ac-225-PSMA TAT.</w:t>
      </w:r>
      <w:r w:rsidRPr="003B1B55">
        <w:rPr>
          <w:b/>
          <w:bCs/>
          <w:lang w:val="en-GB"/>
        </w:rPr>
        <w:br/>
        <w:t xml:space="preserve">Methods: </w:t>
      </w:r>
      <w:r w:rsidRPr="000D1920">
        <w:rPr>
          <w:lang w:val="en-GB"/>
        </w:rPr>
        <w:t>A comprehensive literature search identified studies reporting outcomes of Ac-225-PSMA therapy in mCRPC. Primary endpoints included PSA50 response (≥50% PSA decline) and safety profiles. Secondary endpoints included median progression-free survival (mPFS) and overall survival (mOS). Data were pooled using random-effects models.</w:t>
      </w:r>
      <w:r w:rsidRPr="000D1920">
        <w:rPr>
          <w:lang w:val="en-GB"/>
        </w:rPr>
        <w:br/>
      </w:r>
      <w:r w:rsidRPr="003B1B55">
        <w:rPr>
          <w:b/>
          <w:bCs/>
          <w:lang w:val="en-GB"/>
        </w:rPr>
        <w:t xml:space="preserve">Results: </w:t>
      </w:r>
      <w:r w:rsidRPr="000D1920">
        <w:rPr>
          <w:lang w:val="en-GB"/>
        </w:rPr>
        <w:t xml:space="preserve">Twenty studies (1,007 patients) were included. The pooled PSA50 response rate was 64% (95% CI: 58–70%). Higher PSA50 rates were observed in patients with fewer prior therapies (78% for 0 lines vs. 54% for ≥2 lines, </w:t>
      </w:r>
      <w:r w:rsidRPr="000D1920">
        <w:rPr>
          <w:i/>
          <w:iCs/>
          <w:lang w:val="en-GB"/>
        </w:rPr>
        <w:t>p</w:t>
      </w:r>
      <w:r w:rsidRPr="000D1920">
        <w:rPr>
          <w:lang w:val="en-GB"/>
        </w:rPr>
        <w:t xml:space="preserve">&lt;0.0001) and without prior taxane chemotherapy (72% vs. 58%, </w:t>
      </w:r>
      <w:r w:rsidRPr="000D1920">
        <w:rPr>
          <w:i/>
          <w:iCs/>
          <w:lang w:val="en-GB"/>
        </w:rPr>
        <w:t>p</w:t>
      </w:r>
      <w:r w:rsidRPr="000D1920">
        <w:rPr>
          <w:lang w:val="en-GB"/>
        </w:rPr>
        <w:t>&lt;0.0001). Median mPFS and mOS ranged from 3–15 months and 8–31 months, respectively. Common adverse events included anemia (68% any grade, 11% grade ≥3) and thrombocytopenia (40% any grade, 6% grade ≥3).</w:t>
      </w:r>
      <w:r w:rsidRPr="000D1920">
        <w:rPr>
          <w:lang w:val="en-GB"/>
        </w:rPr>
        <w:br/>
      </w:r>
      <w:r w:rsidRPr="003B1B55">
        <w:rPr>
          <w:b/>
          <w:bCs/>
          <w:lang w:val="en-GB"/>
        </w:rPr>
        <w:t xml:space="preserve">Conclusion: </w:t>
      </w:r>
      <w:r w:rsidRPr="000D1920">
        <w:rPr>
          <w:lang w:val="en-GB"/>
        </w:rPr>
        <w:t>Ac-225-PSMA TAT demonstrates substantial antitumor activity in heavily pretreated mCRPC, with manageable toxicity. Prospective trials are warranted to optimize dosing and patient selection.</w:t>
      </w:r>
    </w:p>
    <w:p w14:paraId="6FE7022D" w14:textId="77777777" w:rsidR="003B1B55" w:rsidRPr="003B1B55" w:rsidRDefault="00000000" w:rsidP="003B1B55">
      <w:pPr>
        <w:rPr>
          <w:b/>
          <w:bCs/>
        </w:rPr>
      </w:pPr>
      <w:r>
        <w:rPr>
          <w:b/>
          <w:bCs/>
        </w:rPr>
        <w:pict w14:anchorId="766EC67D">
          <v:rect id="_x0000_i1026" style="width:0;height:1.5pt" o:hralign="center" o:hrstd="t" o:hr="t" fillcolor="#a0a0a0" stroked="f"/>
        </w:pict>
      </w:r>
    </w:p>
    <w:p w14:paraId="0C4B6200" w14:textId="77777777" w:rsidR="003B1B55" w:rsidRPr="000D1920" w:rsidRDefault="003B1B55" w:rsidP="003B1B55">
      <w:pPr>
        <w:rPr>
          <w:lang w:val="en-GB"/>
        </w:rPr>
      </w:pPr>
      <w:r w:rsidRPr="003B1B55">
        <w:rPr>
          <w:b/>
          <w:bCs/>
          <w:lang w:val="en-GB"/>
        </w:rPr>
        <w:t>Introduction</w:t>
      </w:r>
      <w:r w:rsidRPr="003B1B55">
        <w:rPr>
          <w:b/>
          <w:bCs/>
          <w:lang w:val="en-GB"/>
        </w:rPr>
        <w:br/>
      </w:r>
      <w:r w:rsidRPr="000D1920">
        <w:rPr>
          <w:lang w:val="en-GB"/>
        </w:rPr>
        <w:t xml:space="preserve">Metastatic castration-resistant prostate cancer (mCRPC) remains a lethal disease despite advances in androgen receptor pathway inhibitors (ARPIs), chemotherapy, and beta-emitting radioligands. Targeted alpha therapy (TAT) using Ac-225-labeled PSMA ligands delivers high-energy alpha particles to PSMA-expressing tumors while sparing normal tissues. Early studies report encouraging responses, but heterogeneous methodologies and small cohorts limit generalizability. This systematic review and meta-analysis </w:t>
      </w:r>
      <w:proofErr w:type="gramStart"/>
      <w:r w:rsidRPr="000D1920">
        <w:rPr>
          <w:lang w:val="en-GB"/>
        </w:rPr>
        <w:t>synthesizes</w:t>
      </w:r>
      <w:proofErr w:type="gramEnd"/>
      <w:r w:rsidRPr="000D1920">
        <w:rPr>
          <w:lang w:val="en-GB"/>
        </w:rPr>
        <w:t xml:space="preserve"> existing evidence on the efficacy and safety of Ac-225-PSMA TAT in mCRPC, addressing knowledge gaps regarding predictors of response and toxicity profiles.</w:t>
      </w:r>
    </w:p>
    <w:p w14:paraId="42FB51F9" w14:textId="77777777" w:rsidR="003B1B55" w:rsidRPr="003B1B55" w:rsidRDefault="00000000" w:rsidP="003B1B55">
      <w:pPr>
        <w:rPr>
          <w:b/>
          <w:bCs/>
        </w:rPr>
      </w:pPr>
      <w:r w:rsidRPr="000D1920">
        <w:pict w14:anchorId="12C19B28">
          <v:rect id="_x0000_i1027" style="width:0;height:1.5pt" o:hralign="center" o:hrstd="t" o:hr="t" fillcolor="#a0a0a0" stroked="f"/>
        </w:pict>
      </w:r>
    </w:p>
    <w:p w14:paraId="3E848B3C" w14:textId="77777777" w:rsidR="003B1B55" w:rsidRPr="003B1B55" w:rsidRDefault="003B1B55" w:rsidP="003B1B55">
      <w:pPr>
        <w:rPr>
          <w:b/>
          <w:bCs/>
          <w:lang w:val="en-GB"/>
        </w:rPr>
      </w:pPr>
      <w:r w:rsidRPr="003B1B55">
        <w:rPr>
          <w:b/>
          <w:bCs/>
          <w:lang w:val="en-GB"/>
        </w:rPr>
        <w:t>Materials and Methods</w:t>
      </w:r>
      <w:r w:rsidRPr="003B1B55">
        <w:rPr>
          <w:b/>
          <w:bCs/>
          <w:lang w:val="en-GB"/>
        </w:rPr>
        <w:br/>
        <w:t xml:space="preserve">Search Strategy and Selection Criteria: </w:t>
      </w:r>
      <w:r w:rsidRPr="000D1920">
        <w:rPr>
          <w:lang w:val="en-GB"/>
        </w:rPr>
        <w:t>Following PRISMA guidelines, PubMed, Embase, and Cochrane Library were searched (January 2010–March 2024) using terms including “actinium-225,” “PSMA,” and “prostate cancer.” Included studies reported PSA50, survival outcomes, or adverse events for ≥10 patients. Retrospective and prospective studies were eligible; case reports and reviews were excluded.</w:t>
      </w:r>
    </w:p>
    <w:p w14:paraId="7DDE4519" w14:textId="77777777" w:rsidR="003B1B55" w:rsidRPr="000D1920" w:rsidRDefault="003B1B55" w:rsidP="003B1B55">
      <w:pPr>
        <w:rPr>
          <w:lang w:val="en-GB"/>
        </w:rPr>
      </w:pPr>
      <w:r w:rsidRPr="003B1B55">
        <w:rPr>
          <w:b/>
          <w:bCs/>
          <w:lang w:val="en-GB"/>
        </w:rPr>
        <w:t xml:space="preserve">Data Extraction and Quality Assessment: </w:t>
      </w:r>
      <w:r w:rsidRPr="000D1920">
        <w:rPr>
          <w:lang w:val="en-GB"/>
        </w:rPr>
        <w:t>Two investigators independently extracted data on study design, patient characteristics, treatment protocols, and outcomes. Risk of bias was assessed using the Newcastle-Ottawa Scale for observational studies and Cochrane tools for clinical trials.</w:t>
      </w:r>
    </w:p>
    <w:p w14:paraId="530DDB26" w14:textId="77777777" w:rsidR="003B1B55" w:rsidRPr="000D1920" w:rsidRDefault="003B1B55" w:rsidP="003B1B55">
      <w:pPr>
        <w:rPr>
          <w:lang w:val="en-GB"/>
        </w:rPr>
      </w:pPr>
      <w:r w:rsidRPr="003B1B55">
        <w:rPr>
          <w:b/>
          <w:bCs/>
          <w:lang w:val="en-GB"/>
        </w:rPr>
        <w:t>Statistical Analysis</w:t>
      </w:r>
      <w:r w:rsidRPr="000D1920">
        <w:rPr>
          <w:lang w:val="en-GB"/>
        </w:rPr>
        <w:t>: Pooled PSA50 rates with 95% confidence intervals (CI) were calculated using a random-effects model. Subgroup analyses compared responses by prior therapies. Survival outcomes and adverse event rates were descriptively synthesized due to heterogeneity.</w:t>
      </w:r>
    </w:p>
    <w:p w14:paraId="559D1F70" w14:textId="77777777" w:rsidR="003B1B55" w:rsidRPr="003B1B55" w:rsidRDefault="00000000" w:rsidP="003B1B55">
      <w:pPr>
        <w:rPr>
          <w:b/>
          <w:bCs/>
        </w:rPr>
      </w:pPr>
      <w:r>
        <w:rPr>
          <w:b/>
          <w:bCs/>
        </w:rPr>
        <w:lastRenderedPageBreak/>
        <w:pict w14:anchorId="2869F6D2">
          <v:rect id="_x0000_i1028" style="width:0;height:1.5pt" o:hralign="center" o:hrstd="t" o:hr="t" fillcolor="#a0a0a0" stroked="f"/>
        </w:pict>
      </w:r>
    </w:p>
    <w:p w14:paraId="07CBF557" w14:textId="77777777" w:rsidR="003B1B55" w:rsidRPr="000D1920" w:rsidRDefault="003B1B55" w:rsidP="003B1B55">
      <w:pPr>
        <w:rPr>
          <w:lang w:val="en-GB"/>
        </w:rPr>
      </w:pPr>
      <w:r w:rsidRPr="003B1B55">
        <w:rPr>
          <w:b/>
          <w:bCs/>
          <w:lang w:val="en-GB"/>
        </w:rPr>
        <w:t>Results</w:t>
      </w:r>
      <w:r w:rsidRPr="003B1B55">
        <w:rPr>
          <w:b/>
          <w:bCs/>
          <w:lang w:val="en-GB"/>
        </w:rPr>
        <w:br/>
        <w:t xml:space="preserve">Study Selection and Characteristics: </w:t>
      </w:r>
      <w:r w:rsidRPr="000D1920">
        <w:rPr>
          <w:lang w:val="en-GB"/>
        </w:rPr>
        <w:t>The PRISMA flowchart (Figure 1) identified 20 studies (1,007 patients). Most were retrospective (85%); one phase I trial was included. Baseline characteristics are summarized in Table 1. Patients had extensive metastatic burden (skeletal: 82–100%; visceral: 0–62%) and prior therapies (ADT: 100%; ARPIs: 13–100%; taxane: 0–100%).</w:t>
      </w:r>
    </w:p>
    <w:p w14:paraId="368FC26E" w14:textId="77777777" w:rsidR="003B1B55" w:rsidRPr="003B1B55" w:rsidRDefault="003B1B55" w:rsidP="003B1B55">
      <w:pPr>
        <w:rPr>
          <w:b/>
          <w:bCs/>
        </w:rPr>
      </w:pPr>
      <w:proofErr w:type="spellStart"/>
      <w:r w:rsidRPr="003B1B55">
        <w:rPr>
          <w:b/>
          <w:bCs/>
        </w:rPr>
        <w:t>Efficacy</w:t>
      </w:r>
      <w:proofErr w:type="spellEnd"/>
      <w:r w:rsidRPr="003B1B55">
        <w:rPr>
          <w:b/>
          <w:bCs/>
        </w:rPr>
        <w:t xml:space="preserve"> </w:t>
      </w:r>
      <w:proofErr w:type="spellStart"/>
      <w:r w:rsidRPr="003B1B55">
        <w:rPr>
          <w:b/>
          <w:bCs/>
        </w:rPr>
        <w:t>Outcomes</w:t>
      </w:r>
      <w:proofErr w:type="spellEnd"/>
      <w:r w:rsidRPr="003B1B55">
        <w:rPr>
          <w:b/>
          <w:bCs/>
        </w:rPr>
        <w:t>:</w:t>
      </w:r>
    </w:p>
    <w:p w14:paraId="4422B5CD" w14:textId="77777777" w:rsidR="003B1B55" w:rsidRPr="000D1920" w:rsidRDefault="003B1B55" w:rsidP="003B1B55">
      <w:pPr>
        <w:numPr>
          <w:ilvl w:val="0"/>
          <w:numId w:val="2"/>
        </w:numPr>
        <w:rPr>
          <w:lang w:val="en-GB"/>
        </w:rPr>
      </w:pPr>
      <w:r w:rsidRPr="000D1920">
        <w:rPr>
          <w:lang w:val="en-GB"/>
        </w:rPr>
        <w:t xml:space="preserve">PSA50 Response: The pooled PSA50 rate was 64% (Figure 2). Subgroup analyses revealed higher PSA50 rates in patients with no prior mCRPC therapies (78% vs. 54% for ≥2 lines, </w:t>
      </w:r>
      <w:r w:rsidRPr="000D1920">
        <w:rPr>
          <w:i/>
          <w:iCs/>
          <w:lang w:val="en-GB"/>
        </w:rPr>
        <w:t>p</w:t>
      </w:r>
      <w:r w:rsidRPr="000D1920">
        <w:rPr>
          <w:lang w:val="en-GB"/>
        </w:rPr>
        <w:t xml:space="preserve">&lt;0.0001; Figure 3), no prior ARPIs (64% vs. 54.5%, </w:t>
      </w:r>
      <w:r w:rsidRPr="000D1920">
        <w:rPr>
          <w:i/>
          <w:iCs/>
          <w:lang w:val="en-GB"/>
        </w:rPr>
        <w:t>p</w:t>
      </w:r>
      <w:r w:rsidRPr="000D1920">
        <w:rPr>
          <w:lang w:val="en-GB"/>
        </w:rPr>
        <w:t xml:space="preserve">&lt;0.0001; Figure 4), and no prior taxane (72% vs. 58%, </w:t>
      </w:r>
      <w:r w:rsidRPr="000D1920">
        <w:rPr>
          <w:i/>
          <w:iCs/>
          <w:lang w:val="en-GB"/>
        </w:rPr>
        <w:t>p</w:t>
      </w:r>
      <w:r w:rsidRPr="000D1920">
        <w:rPr>
          <w:lang w:val="en-GB"/>
        </w:rPr>
        <w:t xml:space="preserve">&lt;0.0001; Figure 5). Prior lutetium-177-PSMA therapy did not significantly affect PSA50 (74% vs. 70%, </w:t>
      </w:r>
      <w:r w:rsidRPr="000D1920">
        <w:rPr>
          <w:i/>
          <w:iCs/>
          <w:lang w:val="en-GB"/>
        </w:rPr>
        <w:t>p</w:t>
      </w:r>
      <w:r w:rsidRPr="000D1920">
        <w:rPr>
          <w:lang w:val="en-GB"/>
        </w:rPr>
        <w:t>=0.06; Figure 6).</w:t>
      </w:r>
    </w:p>
    <w:p w14:paraId="02A54A06" w14:textId="77777777" w:rsidR="003B1B55" w:rsidRPr="000D1920" w:rsidRDefault="003B1B55" w:rsidP="003B1B55">
      <w:pPr>
        <w:numPr>
          <w:ilvl w:val="0"/>
          <w:numId w:val="2"/>
        </w:numPr>
        <w:rPr>
          <w:lang w:val="en-GB"/>
        </w:rPr>
      </w:pPr>
      <w:r w:rsidRPr="000D1920">
        <w:rPr>
          <w:lang w:val="en-GB"/>
        </w:rPr>
        <w:t>Survival: Median PFS ranged from 3–15 months, and median OS from 8–31 months (Table 1).</w:t>
      </w:r>
    </w:p>
    <w:p w14:paraId="1A1585C6" w14:textId="77777777" w:rsidR="003B1B55" w:rsidRPr="000D1920" w:rsidRDefault="003B1B55" w:rsidP="003B1B55">
      <w:pPr>
        <w:rPr>
          <w:lang w:val="en-GB"/>
        </w:rPr>
      </w:pPr>
      <w:r w:rsidRPr="003B1B55">
        <w:rPr>
          <w:b/>
          <w:bCs/>
          <w:lang w:val="en-GB"/>
        </w:rPr>
        <w:t xml:space="preserve">Safety: </w:t>
      </w:r>
      <w:r w:rsidRPr="000D1920">
        <w:rPr>
          <w:lang w:val="en-GB"/>
        </w:rPr>
        <w:t>Hematologic toxicities predominated (Table 3). Anemia (68% any grade) and thrombocytopenia (40%) were frequent; grade ≥3 events occurred in 11% and 6%, respectively. Non-hematologic toxicities included xerostomia (77%) and fatigue (61%), with rare severe events.</w:t>
      </w:r>
    </w:p>
    <w:p w14:paraId="46B9BC3F" w14:textId="77777777" w:rsidR="003B1B55" w:rsidRPr="003B1B55" w:rsidRDefault="00000000" w:rsidP="003B1B55">
      <w:pPr>
        <w:rPr>
          <w:b/>
          <w:bCs/>
        </w:rPr>
      </w:pPr>
      <w:r w:rsidRPr="000D1920">
        <w:pict w14:anchorId="042E8CFE">
          <v:rect id="_x0000_i1029" style="width:0;height:1.5pt" o:hralign="center" o:hrstd="t" o:hr="t" fillcolor="#a0a0a0" stroked="f"/>
        </w:pict>
      </w:r>
    </w:p>
    <w:p w14:paraId="5E779A05" w14:textId="77777777" w:rsidR="003B1B55" w:rsidRPr="000D1920" w:rsidRDefault="003B1B55" w:rsidP="003B1B55">
      <w:pPr>
        <w:rPr>
          <w:lang w:val="en-GB"/>
        </w:rPr>
      </w:pPr>
      <w:r w:rsidRPr="003B1B55">
        <w:rPr>
          <w:b/>
          <w:bCs/>
          <w:lang w:val="en-GB"/>
        </w:rPr>
        <w:t>Discussion</w:t>
      </w:r>
      <w:r w:rsidRPr="003B1B55">
        <w:rPr>
          <w:b/>
          <w:bCs/>
          <w:lang w:val="en-GB"/>
        </w:rPr>
        <w:br/>
      </w:r>
      <w:r w:rsidRPr="000D1920">
        <w:rPr>
          <w:lang w:val="en-GB"/>
        </w:rPr>
        <w:t>This meta-analysis demonstrates robust antitumor activity of Ac-225-PSMA TAT in mCRPC, particularly in less pretreated patients. The 64% PSA50 rate exceeds responses to third-line ARPIs (~20–30%) or chemotherapy (~12–17%), supporting its potential as a later-line option. Notably, prior taxane chemotherapy correlated with reduced efficacy, possibly reflecting aggressive tumor biology or cumulative bone marrow suppression.</w:t>
      </w:r>
    </w:p>
    <w:p w14:paraId="2D5CA98E" w14:textId="77777777" w:rsidR="003B1B55" w:rsidRPr="000D1920" w:rsidRDefault="003B1B55" w:rsidP="003B1B55">
      <w:pPr>
        <w:rPr>
          <w:lang w:val="en-GB"/>
        </w:rPr>
      </w:pPr>
      <w:r w:rsidRPr="000D1920">
        <w:rPr>
          <w:lang w:val="en-GB"/>
        </w:rPr>
        <w:t>The safety profile was favorable compared to beta-emitting radioligands, with lower rates of severe myelosuppression. However, chronic xerostomia and renal impairment warrant monitoring. Heterogeneity in dosing (e.g., 8 MBq vs. 100 kBq/kg) and retreatment intervals underscores the need for standardized protocols.</w:t>
      </w:r>
    </w:p>
    <w:p w14:paraId="56E16A1A" w14:textId="77777777" w:rsidR="003B1B55" w:rsidRPr="000D1920" w:rsidRDefault="003B1B55" w:rsidP="003B1B55">
      <w:pPr>
        <w:rPr>
          <w:lang w:val="en-GB"/>
        </w:rPr>
      </w:pPr>
      <w:r w:rsidRPr="000D1920">
        <w:rPr>
          <w:lang w:val="en-GB"/>
        </w:rPr>
        <w:t>Limitations include retrospective design dominance and variable follow-up. Prospective trials, such as the ongoing AcTION trial, are critical to validate these findings and define optimal sequencing with other therapies.</w:t>
      </w:r>
    </w:p>
    <w:p w14:paraId="20B04628" w14:textId="77777777" w:rsidR="003B1B55" w:rsidRPr="003B1B55" w:rsidRDefault="00000000" w:rsidP="003B1B55">
      <w:pPr>
        <w:rPr>
          <w:b/>
          <w:bCs/>
        </w:rPr>
      </w:pPr>
      <w:r>
        <w:rPr>
          <w:b/>
          <w:bCs/>
        </w:rPr>
        <w:pict w14:anchorId="08E39051">
          <v:rect id="_x0000_i1030" style="width:0;height:1.5pt" o:hralign="center" o:hrstd="t" o:hr="t" fillcolor="#a0a0a0" stroked="f"/>
        </w:pict>
      </w:r>
    </w:p>
    <w:p w14:paraId="258036CA" w14:textId="77777777" w:rsidR="003B1B55" w:rsidRPr="000D1920" w:rsidRDefault="003B1B55" w:rsidP="003B1B55">
      <w:pPr>
        <w:rPr>
          <w:lang w:val="en-GB"/>
        </w:rPr>
      </w:pPr>
      <w:r w:rsidRPr="003B1B55">
        <w:rPr>
          <w:b/>
          <w:bCs/>
          <w:lang w:val="en-GB"/>
        </w:rPr>
        <w:t>Conclusion</w:t>
      </w:r>
      <w:r w:rsidRPr="003B1B55">
        <w:rPr>
          <w:b/>
          <w:bCs/>
          <w:lang w:val="en-GB"/>
        </w:rPr>
        <w:br/>
      </w:r>
      <w:r w:rsidRPr="000D1920">
        <w:rPr>
          <w:lang w:val="en-GB"/>
        </w:rPr>
        <w:t>Ac-225-PSMA TAT achieves meaningful biochemical and survival outcomes in advanced mCRPC, with a manageable toxicity profile. Treatment efficacy is influenced by prior therapies, emphasizing the importance of early integration into the mCRPC continuum.</w:t>
      </w:r>
    </w:p>
    <w:p w14:paraId="42C29715" w14:textId="77777777" w:rsidR="003B1B55" w:rsidRPr="003B1B55" w:rsidRDefault="00000000" w:rsidP="003B1B55">
      <w:pPr>
        <w:rPr>
          <w:b/>
          <w:bCs/>
        </w:rPr>
      </w:pPr>
      <w:r>
        <w:rPr>
          <w:b/>
          <w:bCs/>
        </w:rPr>
        <w:pict w14:anchorId="1D243511">
          <v:rect id="_x0000_i1031" style="width:0;height:1.5pt" o:hralign="center" o:hrstd="t" o:hr="t" fillcolor="#a0a0a0" stroked="f"/>
        </w:pict>
      </w:r>
    </w:p>
    <w:p w14:paraId="3E2AE735" w14:textId="77777777" w:rsidR="003B1B55" w:rsidRPr="003B1B55" w:rsidRDefault="003B1B55" w:rsidP="003B1B55">
      <w:pPr>
        <w:rPr>
          <w:b/>
          <w:bCs/>
        </w:rPr>
      </w:pPr>
      <w:proofErr w:type="spellStart"/>
      <w:r w:rsidRPr="003B1B55">
        <w:rPr>
          <w:b/>
          <w:bCs/>
        </w:rPr>
        <w:t>Figures</w:t>
      </w:r>
      <w:proofErr w:type="spellEnd"/>
      <w:r w:rsidRPr="003B1B55">
        <w:rPr>
          <w:b/>
          <w:bCs/>
        </w:rPr>
        <w:t>/</w:t>
      </w:r>
      <w:proofErr w:type="spellStart"/>
      <w:r w:rsidRPr="003B1B55">
        <w:rPr>
          <w:b/>
          <w:bCs/>
        </w:rPr>
        <w:t>Tables</w:t>
      </w:r>
      <w:proofErr w:type="spellEnd"/>
      <w:r w:rsidRPr="003B1B55">
        <w:rPr>
          <w:b/>
          <w:bCs/>
        </w:rPr>
        <w:t xml:space="preserve"> </w:t>
      </w:r>
      <w:proofErr w:type="spellStart"/>
      <w:r w:rsidRPr="003B1B55">
        <w:rPr>
          <w:b/>
          <w:bCs/>
        </w:rPr>
        <w:t>Referenced</w:t>
      </w:r>
      <w:proofErr w:type="spellEnd"/>
    </w:p>
    <w:p w14:paraId="0EF4A949" w14:textId="77777777" w:rsidR="003B1B55" w:rsidRPr="003B1B55" w:rsidRDefault="003B1B55" w:rsidP="003B1B55">
      <w:pPr>
        <w:numPr>
          <w:ilvl w:val="0"/>
          <w:numId w:val="3"/>
        </w:numPr>
        <w:rPr>
          <w:b/>
          <w:bCs/>
        </w:rPr>
      </w:pPr>
      <w:r w:rsidRPr="003B1B55">
        <w:rPr>
          <w:b/>
          <w:bCs/>
        </w:rPr>
        <w:t>Figure 1: PRISMA flowchart</w:t>
      </w:r>
    </w:p>
    <w:p w14:paraId="5B0EFE81" w14:textId="77777777" w:rsidR="003B1B55" w:rsidRPr="003B1B55" w:rsidRDefault="003B1B55" w:rsidP="003B1B55">
      <w:pPr>
        <w:numPr>
          <w:ilvl w:val="0"/>
          <w:numId w:val="3"/>
        </w:numPr>
        <w:rPr>
          <w:b/>
          <w:bCs/>
        </w:rPr>
      </w:pPr>
      <w:proofErr w:type="spellStart"/>
      <w:r w:rsidRPr="003B1B55">
        <w:rPr>
          <w:b/>
          <w:bCs/>
        </w:rPr>
        <w:t>Table</w:t>
      </w:r>
      <w:proofErr w:type="spellEnd"/>
      <w:r w:rsidRPr="003B1B55">
        <w:rPr>
          <w:b/>
          <w:bCs/>
        </w:rPr>
        <w:t xml:space="preserve"> 1: Study </w:t>
      </w:r>
      <w:proofErr w:type="spellStart"/>
      <w:r w:rsidRPr="003B1B55">
        <w:rPr>
          <w:b/>
          <w:bCs/>
        </w:rPr>
        <w:t>characteristics</w:t>
      </w:r>
      <w:proofErr w:type="spellEnd"/>
    </w:p>
    <w:p w14:paraId="69468269" w14:textId="77777777" w:rsidR="003B1B55" w:rsidRPr="003B1B55" w:rsidRDefault="003B1B55" w:rsidP="003B1B55">
      <w:pPr>
        <w:numPr>
          <w:ilvl w:val="0"/>
          <w:numId w:val="3"/>
        </w:numPr>
        <w:rPr>
          <w:b/>
          <w:bCs/>
          <w:lang w:val="en-GB"/>
        </w:rPr>
      </w:pPr>
      <w:r w:rsidRPr="003B1B55">
        <w:rPr>
          <w:b/>
          <w:bCs/>
          <w:lang w:val="en-GB"/>
        </w:rPr>
        <w:t>Figures 2–7: Subgroup analyses of PSA50 rates</w:t>
      </w:r>
    </w:p>
    <w:p w14:paraId="5105F765" w14:textId="77777777" w:rsidR="003B1B55" w:rsidRPr="003B1B55" w:rsidRDefault="003B1B55" w:rsidP="003B1B55">
      <w:pPr>
        <w:numPr>
          <w:ilvl w:val="0"/>
          <w:numId w:val="3"/>
        </w:numPr>
        <w:rPr>
          <w:b/>
          <w:bCs/>
        </w:rPr>
      </w:pPr>
      <w:proofErr w:type="spellStart"/>
      <w:r w:rsidRPr="003B1B55">
        <w:rPr>
          <w:b/>
          <w:bCs/>
        </w:rPr>
        <w:lastRenderedPageBreak/>
        <w:t>Table</w:t>
      </w:r>
      <w:proofErr w:type="spellEnd"/>
      <w:r w:rsidRPr="003B1B55">
        <w:rPr>
          <w:b/>
          <w:bCs/>
        </w:rPr>
        <w:t xml:space="preserve"> 3: </w:t>
      </w:r>
      <w:proofErr w:type="spellStart"/>
      <w:r w:rsidRPr="003B1B55">
        <w:rPr>
          <w:b/>
          <w:bCs/>
        </w:rPr>
        <w:t>Adverse</w:t>
      </w:r>
      <w:proofErr w:type="spellEnd"/>
      <w:r w:rsidRPr="003B1B55">
        <w:rPr>
          <w:b/>
          <w:bCs/>
        </w:rPr>
        <w:t xml:space="preserve"> events</w:t>
      </w:r>
    </w:p>
    <w:p w14:paraId="6CF0C431" w14:textId="77777777" w:rsidR="003B1B55" w:rsidRPr="003B1B55" w:rsidRDefault="003B1B55" w:rsidP="003B1B55">
      <w:pPr>
        <w:rPr>
          <w:b/>
          <w:bCs/>
          <w:lang w:val="en-GB"/>
        </w:rPr>
      </w:pPr>
      <w:r w:rsidRPr="003B1B55">
        <w:rPr>
          <w:b/>
          <w:bCs/>
          <w:lang w:val="en-GB"/>
        </w:rPr>
        <w:t xml:space="preserve">Supplementary Materials: </w:t>
      </w:r>
      <w:r w:rsidRPr="000D1920">
        <w:rPr>
          <w:lang w:val="en-GB"/>
        </w:rPr>
        <w:t>PRISMA checklist and statistical code are available upon request.</w:t>
      </w:r>
    </w:p>
    <w:p w14:paraId="6BA37838" w14:textId="77777777" w:rsidR="003B1B55" w:rsidRPr="003B1B55" w:rsidRDefault="00000000" w:rsidP="003B1B55">
      <w:pPr>
        <w:rPr>
          <w:b/>
          <w:bCs/>
        </w:rPr>
      </w:pPr>
      <w:r>
        <w:rPr>
          <w:b/>
          <w:bCs/>
        </w:rPr>
        <w:pict w14:anchorId="11148527">
          <v:rect id="_x0000_i1032" style="width:0;height:1.5pt" o:hralign="center" o:hrstd="t" o:hr="t" fillcolor="#a0a0a0" stroked="f"/>
        </w:pict>
      </w:r>
    </w:p>
    <w:p w14:paraId="7947F640" w14:textId="77777777" w:rsidR="003B1B55" w:rsidRPr="003B1B55" w:rsidRDefault="003B1B55" w:rsidP="003B1B55">
      <w:pPr>
        <w:rPr>
          <w:b/>
          <w:bCs/>
        </w:rPr>
      </w:pPr>
      <w:r w:rsidRPr="003B1B55">
        <w:rPr>
          <w:b/>
          <w:bCs/>
          <w:i/>
          <w:iCs/>
          <w:lang w:val="en-GB"/>
        </w:rPr>
        <w:t>Conflicts of Interest</w:t>
      </w:r>
      <w:r w:rsidRPr="003B1B55">
        <w:rPr>
          <w:b/>
          <w:bCs/>
          <w:lang w:val="en-GB"/>
        </w:rPr>
        <w:t xml:space="preserve">: </w:t>
      </w:r>
      <w:r w:rsidRPr="000D1920">
        <w:rPr>
          <w:lang w:val="en-GB"/>
        </w:rPr>
        <w:t>The authors declare no conflicts of interest.</w:t>
      </w:r>
      <w:r w:rsidRPr="003B1B55">
        <w:rPr>
          <w:b/>
          <w:bCs/>
          <w:lang w:val="en-GB"/>
        </w:rPr>
        <w:br/>
      </w:r>
      <w:r w:rsidRPr="003B1B55">
        <w:rPr>
          <w:b/>
          <w:bCs/>
          <w:i/>
          <w:iCs/>
        </w:rPr>
        <w:t>Funding</w:t>
      </w:r>
      <w:r w:rsidRPr="003B1B55">
        <w:rPr>
          <w:b/>
          <w:bCs/>
        </w:rPr>
        <w:t xml:space="preserve">: </w:t>
      </w:r>
      <w:proofErr w:type="spellStart"/>
      <w:r w:rsidRPr="000D1920">
        <w:t>This</w:t>
      </w:r>
      <w:proofErr w:type="spellEnd"/>
      <w:r w:rsidRPr="000D1920">
        <w:t xml:space="preserve"> </w:t>
      </w:r>
      <w:proofErr w:type="spellStart"/>
      <w:r w:rsidRPr="000D1920">
        <w:t>research</w:t>
      </w:r>
      <w:proofErr w:type="spellEnd"/>
      <w:r w:rsidRPr="000D1920">
        <w:t xml:space="preserve"> </w:t>
      </w:r>
      <w:proofErr w:type="spellStart"/>
      <w:r w:rsidRPr="000D1920">
        <w:t>received</w:t>
      </w:r>
      <w:proofErr w:type="spellEnd"/>
      <w:r w:rsidRPr="000D1920">
        <w:t xml:space="preserve"> no </w:t>
      </w:r>
      <w:proofErr w:type="spellStart"/>
      <w:r w:rsidRPr="000D1920">
        <w:t>external</w:t>
      </w:r>
      <w:proofErr w:type="spellEnd"/>
      <w:r w:rsidRPr="000D1920">
        <w:t xml:space="preserve"> funding.</w:t>
      </w:r>
    </w:p>
    <w:p w14:paraId="309B0E02" w14:textId="77777777" w:rsidR="003E53CC" w:rsidRPr="003B1B55" w:rsidRDefault="003E53CC" w:rsidP="003B1B55"/>
    <w:sectPr w:rsidR="003E53CC" w:rsidRPr="003B1B5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26B00"/>
    <w:multiLevelType w:val="multilevel"/>
    <w:tmpl w:val="3B42D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6A49CB"/>
    <w:multiLevelType w:val="multilevel"/>
    <w:tmpl w:val="46DCC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297EDD"/>
    <w:multiLevelType w:val="multilevel"/>
    <w:tmpl w:val="648E2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86150415">
    <w:abstractNumId w:val="0"/>
  </w:num>
  <w:num w:numId="2" w16cid:durableId="1986277003">
    <w:abstractNumId w:val="1"/>
  </w:num>
  <w:num w:numId="3" w16cid:durableId="15466746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D23"/>
    <w:rsid w:val="000D1920"/>
    <w:rsid w:val="001636F7"/>
    <w:rsid w:val="003B1B55"/>
    <w:rsid w:val="003E53CC"/>
    <w:rsid w:val="004B61FF"/>
    <w:rsid w:val="00B065FE"/>
    <w:rsid w:val="00C42D23"/>
    <w:rsid w:val="00CA64F1"/>
    <w:rsid w:val="00E7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9460E"/>
  <w15:chartTrackingRefBased/>
  <w15:docId w15:val="{05CA21BC-6662-4446-91DB-18282C5FD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42D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42D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42D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42D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42D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42D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42D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42D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42D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42D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42D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42D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42D2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42D2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42D2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42D2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42D2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42D2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42D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42D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42D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42D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42D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42D2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42D2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42D2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42D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42D2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42D23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B065FE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065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33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5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0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890</Words>
  <Characters>5073</Characters>
  <Application>Microsoft Office Word</Application>
  <DocSecurity>0</DocSecurity>
  <Lines>42</Lines>
  <Paragraphs>11</Paragraphs>
  <ScaleCrop>false</ScaleCrop>
  <Company/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pini.cristiano</dc:creator>
  <cp:keywords/>
  <dc:description/>
  <cp:lastModifiedBy>pini.cristiano</cp:lastModifiedBy>
  <cp:revision>3</cp:revision>
  <dcterms:created xsi:type="dcterms:W3CDTF">2025-02-25T12:52:00Z</dcterms:created>
  <dcterms:modified xsi:type="dcterms:W3CDTF">2025-02-25T13:44:00Z</dcterms:modified>
</cp:coreProperties>
</file>